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  <w:jc w:val="center"/>
      </w:pPr>
      <w:r>
        <w:rPr>
          <w:rFonts w:ascii="Calibri" w:cs="Calibri" w:eastAsia="Calibri" w:hAnsi="Calibri"/>
          <w:b/>
          <w:bCs/>
          <w:color w:val="1F3A5F"/>
          <w:spacing w:val="10"/>
          <w:sz w:val="34"/>
          <w:szCs w:val="34"/>
        </w:rPr>
        <w:t xml:space="preserve">MUHAMMAD HUZYAFA KHOKHAR</w:t>
      </w:r>
    </w:p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333333"/>
          <w:sz w:val="24"/>
          <w:szCs w:val="24"/>
        </w:rPr>
        <w:t xml:space="preserve">AI Research Engineer</w:t>
      </w:r>
    </w:p>
    <w:p>
      <w:pPr>
        <w:spacing w:after="40"/>
        <w:jc w:val="center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Multimodal Learning · Autonomous AI Systems · Neuro-Symbolic Reasoning</w:t>
      </w:r>
    </w:p>
    <w:p>
      <w:pPr>
        <w:spacing w:after="60"/>
        <w:jc w:val="center"/>
      </w:pPr>
      <w:hyperlink w:history="1" r:id="rIdggxgjc_udokzgihueklvv">
        <w:r>
          <w:rPr>
            <w:rFonts w:ascii="Calibri" w:cs="Calibri" w:eastAsia="Calibri" w:hAnsi="Calibri"/>
            <w:color w:val="2563EB"/>
            <w:sz w:val="19"/>
            <w:szCs w:val="19"/>
            <w:u w:val="single"/>
          </w:rPr>
          <w:t xml:space="preserve">mhkhokhar.com</w:t>
        </w:r>
      </w:hyperlink>
      <w:r>
        <w:rPr>
          <w:rFonts w:ascii="Calibri" w:cs="Calibri" w:eastAsia="Calibri" w:hAnsi="Calibri"/>
          <w:color w:val="555555"/>
          <w:sz w:val="19"/>
          <w:szCs w:val="19"/>
        </w:rPr>
        <w:t xml:space="preserve">   |   </w:t>
      </w:r>
      <w:hyperlink w:history="1" r:id="rIdlyirg7kfua1udnkcaee52">
        <w:r>
          <w:rPr>
            <w:rFonts w:ascii="Calibri" w:cs="Calibri" w:eastAsia="Calibri" w:hAnsi="Calibri"/>
            <w:color w:val="2563EB"/>
            <w:sz w:val="19"/>
            <w:szCs w:val="19"/>
            <w:u w:val="single"/>
          </w:rPr>
          <w:t xml:space="preserve">LinkedIn</w:t>
        </w:r>
      </w:hyperlink>
      <w:r>
        <w:rPr>
          <w:rFonts w:ascii="Calibri" w:cs="Calibri" w:eastAsia="Calibri" w:hAnsi="Calibri"/>
          <w:color w:val="555555"/>
          <w:sz w:val="19"/>
          <w:szCs w:val="19"/>
        </w:rPr>
        <w:t xml:space="preserve">   |   </w:t>
      </w:r>
      <w:hyperlink w:history="1" r:id="rIdvlljbjpbe2tf-j0n1rpbv">
        <w:r>
          <w:rPr>
            <w:rFonts w:ascii="Calibri" w:cs="Calibri" w:eastAsia="Calibri" w:hAnsi="Calibri"/>
            <w:color w:val="2563EB"/>
            <w:sz w:val="19"/>
            <w:szCs w:val="19"/>
            <w:u w:val="single"/>
          </w:rPr>
          <w:t xml:space="preserve">Excelleve</w:t>
        </w:r>
      </w:hyperlink>
      <w:r>
        <w:rPr>
          <w:rFonts w:ascii="Calibri" w:cs="Calibri" w:eastAsia="Calibri" w:hAnsi="Calibri"/>
          <w:color w:val="555555"/>
          <w:sz w:val="19"/>
          <w:szCs w:val="19"/>
        </w:rPr>
        <w:t xml:space="preserve">   |   </w:t>
      </w:r>
      <w:hyperlink w:history="1" r:id="rIdbnctae8el02u-sihg4gen">
        <w:r>
          <w:rPr>
            <w:rFonts w:ascii="Calibri" w:cs="Calibri" w:eastAsia="Calibri" w:hAnsi="Calibri"/>
            <w:color w:val="2563EB"/>
            <w:sz w:val="19"/>
            <w:szCs w:val="19"/>
            <w:u w:val="single"/>
          </w:rPr>
          <w:t xml:space="preserve">GitHub</w:t>
        </w:r>
      </w:hyperlink>
      <w:r>
        <w:rPr>
          <w:rFonts w:ascii="Calibri" w:cs="Calibri" w:eastAsia="Calibri" w:hAnsi="Calibri"/>
          <w:color w:val="555555"/>
          <w:sz w:val="19"/>
          <w:szCs w:val="19"/>
        </w:rPr>
        <w:t xml:space="preserve">   |   </w:t>
      </w:r>
      <w:r>
        <w:rPr>
          <w:rFonts w:ascii="Calibri" w:cs="Calibri" w:eastAsia="Calibri" w:hAnsi="Calibri"/>
          <w:color w:val="555555"/>
          <w:sz w:val="19"/>
          <w:szCs w:val="19"/>
        </w:rPr>
        <w:t xml:space="preserve">mhk7960@nyu.edu</w:t>
      </w:r>
    </w:p>
    <w:p>
      <w:pPr>
        <w:pBdr>
          <w:bottom w:val="single" w:color="1F3A5F" w:sz="8" w:space="8"/>
        </w:pBdr>
        <w:spacing w:after="120"/>
        <w:jc w:val="center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Engineering intelligent systems that autonomously acquire, represent, and reason over knowledge.</w:t>
      </w:r>
    </w:p>
    <w:p>
      <w:pPr>
        <w:pBdr>
          <w:bottom w:val="single" w:color="1F3A5F" w:sz="6" w:space="3"/>
        </w:pBdr>
        <w:spacing w:after="100" w:before="260"/>
      </w:pPr>
      <w:r>
        <w:rPr>
          <w:rFonts w:ascii="Calibri" w:cs="Calibri" w:eastAsia="Calibri" w:hAnsi="Calibri"/>
          <w:b/>
          <w:bCs/>
          <w:color w:val="1F3A5F"/>
          <w:spacing w:val="12"/>
          <w:sz w:val="21"/>
          <w:szCs w:val="21"/>
        </w:rPr>
        <w:t xml:space="preserve">SUMMARY</w:t>
      </w:r>
    </w:p>
    <w:p>
      <w:p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AI Research Engineer specializing in multimodal learning, autonomous AI systems, and neuro-symbolic reasoning. Developed a sentence-level imagined speech decoding framework from non-invasive EEG and deterministic reasoning systems for regulated industries, while designing autonomous scientific agents that transform complex real-world data into machine-interpretable knowledge. Research centers on advancing intelligence through principled engineering, uniting representation learning, symbolic reasoning, and natural human-machine interaction.</w:t>
      </w:r>
    </w:p>
    <w:p>
      <w:pPr>
        <w:pBdr>
          <w:bottom w:val="single" w:color="1F3A5F" w:sz="6" w:space="3"/>
        </w:pBdr>
        <w:spacing w:after="100" w:before="260"/>
      </w:pPr>
      <w:r>
        <w:rPr>
          <w:rFonts w:ascii="Calibri" w:cs="Calibri" w:eastAsia="Calibri" w:hAnsi="Calibri"/>
          <w:b/>
          <w:bCs/>
          <w:color w:val="1F3A5F"/>
          <w:spacing w:val="12"/>
          <w:sz w:val="21"/>
          <w:szCs w:val="21"/>
        </w:rPr>
        <w:t xml:space="preserve">RESEARCH EXPERIENCE</w:t>
      </w:r>
    </w:p>
    <w:p>
      <w:pPr>
        <w:tabs>
          <w:tab w:val="right" w:pos="9360"/>
        </w:tabs>
        <w:spacing w:after="20" w:before="180"/>
      </w:pPr>
      <w:r>
        <w:rPr>
          <w:rFonts w:ascii="Calibri" w:cs="Calibri" w:eastAsia="Calibri" w:hAnsi="Calibri"/>
          <w:b/>
          <w:bCs/>
          <w:color w:val="333333"/>
          <w:sz w:val="22"/>
          <w:szCs w:val="22"/>
        </w:rPr>
        <w:t xml:space="preserve">Research Engineer (Founder)</w:t>
      </w:r>
      <w:r>
        <w:rPr>
          <w:rFonts w:ascii="Calibri" w:cs="Calibri" w:eastAsia="Calibri" w:hAnsi="Calibri"/>
          <w:b w:val="false"/>
          <w:bCs w:val="false"/>
          <w:color w:val="555555"/>
          <w:sz w:val="20"/>
          <w:szCs w:val="20"/>
        </w:rPr>
        <w:t xml:space="preserve">	Oct 2023 – Present</w:t>
      </w:r>
    </w:p>
    <w:p>
      <w:pPr>
        <w:spacing w:after="60"/>
      </w:pPr>
      <w:hyperlink w:history="1" r:id="rIdauissoxyxspwt_dccwih9">
        <w:r>
          <w:rPr>
            <w:rFonts w:ascii="Calibri" w:cs="Calibri" w:eastAsia="Calibri" w:hAnsi="Calibri"/>
            <w:color w:val="2563EB"/>
            <w:sz w:val="19"/>
            <w:szCs w:val="19"/>
            <w:u w:val="single"/>
          </w:rPr>
          <w:t xml:space="preserve">Excelleve</w:t>
        </w:r>
      </w:hyperlink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· Neurotechnology &amp; Brain-Computer Interfaces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Developed a sentence-level imagined speech decoding framework from non-invasive EEG, defining a new evaluation task for a 197-sentence vocabulary where no prior published benchmark existed. Evaluated across four subjects from the ChiSCO dataset (23,000 recordings), achieving 79% Top-5 and 24.5% Top-1 accuracy.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Designed a dual-encoder contrastive architecture combining a Multi-Scale CNN temporal encoder with a Transformer encoder aligned to frozen BERT representations through contrastive learning, enabling semantic supervision directly from neural activity while remaining language-agnostic by design.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Developed a topology-driven EEG channel selection framework integrating Persistent Homology (Topological Data Analysis) with Phase-Locking Value analysis across 17,570 EEG trials, reducing 122 electrodes to 32 while improving signal quality by 1.92×. The learned functional topology recovered established language-processing regions without anatomical priors, providing a practical foundation for compact wearable BCIs.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Built an EEG-conditioned language generation prototype that injects neural representations into every attention layer of a 1.5B-parameter language model, demonstrating the feasibility of open-vocabulary neural language generation with 0.738 cosine similarity between generated and intended sentences.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Established the technical foundation for a closed-loop neural interface, where decoding serves as the first stage toward bidirectional human-machine communication by identifying the spatial and temporal organization of neural language circuits required for future stimulation-based interaction.</w:t>
      </w:r>
    </w:p>
    <w:p>
      <w:pPr>
        <w:tabs>
          <w:tab w:val="right" w:pos="9360"/>
        </w:tabs>
        <w:spacing w:after="20" w:before="180"/>
      </w:pPr>
      <w:r>
        <w:rPr>
          <w:rFonts w:ascii="Calibri" w:cs="Calibri" w:eastAsia="Calibri" w:hAnsi="Calibri"/>
          <w:b/>
          <w:bCs/>
          <w:color w:val="333333"/>
          <w:sz w:val="22"/>
          <w:szCs w:val="22"/>
        </w:rPr>
        <w:t xml:space="preserve">Founder &amp; Research Engineer</w:t>
      </w:r>
      <w:r>
        <w:rPr>
          <w:rFonts w:ascii="Calibri" w:cs="Calibri" w:eastAsia="Calibri" w:hAnsi="Calibri"/>
          <w:b w:val="false"/>
          <w:bCs w:val="false"/>
          <w:color w:val="555555"/>
          <w:sz w:val="20"/>
          <w:szCs w:val="20"/>
        </w:rPr>
        <w:t xml:space="preserve">	Dec 2025 – Present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Glazion · Neuro-Symbolic AI &amp; Trustworthy Machine Learning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Designed an evolving neuro-symbolic reasoning architecture that separates neural perception from symbolic reasoning, exploring how deterministic AI systems can continuously acquire new knowledge without sacrificing reproducibility or auditability.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Developed an Inductive Logic Programming (ILP) knowledge-discovery framework that learns symbolic rules from regulatory evidence, enabling deterministic reasoning systems to evolve beyond manually engineered rule sets. Applied to 1,265 real regulatory documents, the framework discovered a previously uncaptured compound GMP pattern that eliminated 18 false negatives remaining after more than 200 hours of expert rule engineering.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Built a hybrid inference pipeline combining neural document understanding, hallucination verification, symbolic reasoning, and cryptographically signed HMAC-SHA256 audit trails to produce deterministic decisions aligned with 21 CFR Part 11 data-integrity requirements.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Evaluated the system across 1,415 real regulatory documents spanning FDA guidance, SEC regulations, and ClinicalTrials.gov, achieving 100% decision accuracy, 100% safety recall, 0 false negatives, and an F1 score of 0.968 under the project's evaluation protocol.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Collaborated with regulatory experts including former FDA scientists, ASTM leadership, and healthcare executives to validate system behavior and support deployments in regulatory compliance and industrial data intelligence.</w:t>
      </w:r>
    </w:p>
    <w:p>
      <w:pPr>
        <w:pBdr>
          <w:bottom w:val="single" w:color="1F3A5F" w:sz="6" w:space="3"/>
        </w:pBdr>
        <w:spacing w:after="100" w:before="260"/>
      </w:pPr>
      <w:r>
        <w:rPr>
          <w:rFonts w:ascii="Calibri" w:cs="Calibri" w:eastAsia="Calibri" w:hAnsi="Calibri"/>
          <w:b/>
          <w:bCs/>
          <w:color w:val="1F3A5F"/>
          <w:spacing w:val="12"/>
          <w:sz w:val="21"/>
          <w:szCs w:val="21"/>
        </w:rPr>
        <w:t xml:space="preserve">SELECTED SYSTEMS</w:t>
      </w:r>
    </w:p>
    <w:p>
      <w:pPr>
        <w:tabs>
          <w:tab w:val="right" w:pos="9360"/>
        </w:tabs>
        <w:spacing w:after="20" w:before="180"/>
      </w:pPr>
      <w:r>
        <w:rPr>
          <w:rFonts w:ascii="Calibri" w:cs="Calibri" w:eastAsia="Calibri" w:hAnsi="Calibri"/>
          <w:b/>
          <w:bCs/>
          <w:color w:val="333333"/>
          <w:sz w:val="22"/>
          <w:szCs w:val="22"/>
        </w:rPr>
        <w:t xml:space="preserve">Autonomous Manufacturing Intelligence Agent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Autonomous Scientific Data Engineering · Agentic AI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Designed an autonomous neuro-symbolic research agent that transforms heterogeneous additive-manufacturing sensor data into AI-ready datasets by studying unfamiliar manufacturing processes, scientific literature, and technical standards to determine preprocessing, feature engineering, labeling strategies, and analytical workflows.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Architected an end-to-end scientific reasoning system that retrieves domain knowledge, generates and executes data-processing pipelines, evaluates intermediate results, and iteratively refines its own workflow, reducing dependence on manually engineered process-specific pipelines.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Produced foundation-model-ready datasets in Apache Parquet together with structured JSON knowledge representations for semantic querying and agent interoperability (MCP-compatible), demonstrated on the Peregrine dataset spanning Laser Powder Bed Fusion (L-PBF), Electron Beam Powder Bed Fusion (EB-PBF), and Binder Jetting manufacturing processes.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Technically reviewed by Mark Burhop (Siemens 2022 Inventor of the Year, ASTM F42).</w:t>
      </w:r>
    </w:p>
    <w:p>
      <w:pPr>
        <w:spacing w:after="20" w:before="180"/>
      </w:pPr>
      <w:hyperlink w:history="1" r:id="rIdntieyr6i2fbjc8rq86pp6">
        <w:r>
          <w:rPr>
            <w:rFonts w:ascii="Calibri" w:cs="Calibri" w:eastAsia="Calibri" w:hAnsi="Calibri"/>
            <w:b/>
            <w:bCs/>
            <w:color w:val="2563EB"/>
            <w:sz w:val="22"/>
            <w:szCs w:val="22"/>
            <w:u w:val="single"/>
          </w:rPr>
          <w:t xml:space="preserve">WildNet</w:t>
        </w:r>
      </w:hyperlink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Large-Scale Bioacoustic Learning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Developed a multimodal deep-learning architecture combining CNN feature extraction, channel attention, and dual Transformer encoders for large-scale wildlife audio classification, achieving 88% ROC-AUC across 206 bird species under approximately 1:500 class imbalance.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Achieved approximately 76% of the competition-winning score with only two competition submissions, demonstrating strong generalization under limited optimization.</w:t>
      </w:r>
    </w:p>
    <w:p>
      <w:pPr>
        <w:tabs>
          <w:tab w:val="right" w:pos="9360"/>
        </w:tabs>
        <w:spacing w:after="20" w:before="180"/>
      </w:pPr>
      <w:r>
        <w:rPr>
          <w:rFonts w:ascii="Calibri" w:cs="Calibri" w:eastAsia="Calibri" w:hAnsi="Calibri"/>
          <w:b/>
          <w:bCs/>
          <w:color w:val="333333"/>
          <w:sz w:val="22"/>
          <w:szCs w:val="22"/>
        </w:rPr>
        <w:t xml:space="preserve">Universal Sensor Interface for VEX Robotics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Embedded Systems · Hardware Interoperability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Reverse-engineered VEX's undocumented analog communication protocol and designed an Arduino interoperability layer that enabled commodity off-the-shelf sensors to operate as native VEX peripherals without modifying the robot's control ecosystem.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Reduced sensing hardware cost by approximately 90% ($100 → $10) while maintaining 100% accuracy across 1,000+ operational cycles, enabling rapid hardware iteration under competition constraints and deployment at the VEX Asia Open Championship.</w:t>
      </w:r>
    </w:p>
    <w:p>
      <w:pPr>
        <w:pBdr>
          <w:bottom w:val="single" w:color="1F3A5F" w:sz="6" w:space="3"/>
        </w:pBdr>
        <w:spacing w:after="100" w:before="260"/>
      </w:pPr>
      <w:r>
        <w:rPr>
          <w:rFonts w:ascii="Calibri" w:cs="Calibri" w:eastAsia="Calibri" w:hAnsi="Calibri"/>
          <w:b/>
          <w:bCs/>
          <w:color w:val="1F3A5F"/>
          <w:spacing w:val="12"/>
          <w:sz w:val="21"/>
          <w:szCs w:val="21"/>
        </w:rPr>
        <w:t xml:space="preserve">RESEARCH EXPERTISE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333333"/>
          <w:sz w:val="20"/>
          <w:szCs w:val="20"/>
        </w:rPr>
        <w:t xml:space="preserve">Research Areas: </w:t>
      </w:r>
      <w:r>
        <w:rPr>
          <w:rFonts w:ascii="Calibri" w:cs="Calibri" w:eastAsia="Calibri" w:hAnsi="Calibri"/>
          <w:color w:val="333333"/>
          <w:sz w:val="20"/>
          <w:szCs w:val="20"/>
        </w:rPr>
        <w:t xml:space="preserve">Multimodal Learning · Brain-Computer Interfaces · Neuro-Symbolic AI · Autonomous AI Systems · Representation Learning · Agentic Systems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333333"/>
          <w:sz w:val="20"/>
          <w:szCs w:val="20"/>
        </w:rPr>
        <w:t xml:space="preserve">Machine Learning: </w:t>
      </w:r>
      <w:r>
        <w:rPr>
          <w:rFonts w:ascii="Calibri" w:cs="Calibri" w:eastAsia="Calibri" w:hAnsi="Calibri"/>
          <w:color w:val="333333"/>
          <w:sz w:val="20"/>
          <w:szCs w:val="20"/>
        </w:rPr>
        <w:t xml:space="preserve">PyTorch · Transformers · CNNs · Contrastive Learning · Self-Supervised Learning · Multimodal Representation Learning · Hugging Face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333333"/>
          <w:sz w:val="20"/>
          <w:szCs w:val="20"/>
        </w:rPr>
        <w:t xml:space="preserve">Reasoning &amp; AI Systems: </w:t>
      </w:r>
      <w:r>
        <w:rPr>
          <w:rFonts w:ascii="Calibri" w:cs="Calibri" w:eastAsia="Calibri" w:hAnsi="Calibri"/>
          <w:color w:val="333333"/>
          <w:sz w:val="20"/>
          <w:szCs w:val="20"/>
        </w:rPr>
        <w:t xml:space="preserve">Knowledge Representation · Inductive Logic Programming · Symbolic Reasoning · Hallucination Verification · Tool-Using Agents · Retrieval-Augmented Systems · Evaluation Framework Design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333333"/>
          <w:sz w:val="20"/>
          <w:szCs w:val="20"/>
        </w:rPr>
        <w:t xml:space="preserve">Signal Processing: </w:t>
      </w:r>
      <w:r>
        <w:rPr>
          <w:rFonts w:ascii="Calibri" w:cs="Calibri" w:eastAsia="Calibri" w:hAnsi="Calibri"/>
          <w:color w:val="333333"/>
          <w:sz w:val="20"/>
          <w:szCs w:val="20"/>
        </w:rPr>
        <w:t xml:space="preserve">EEG Signal Processing · Persistent Homology (TDA) · Phase-Locking Value · Spectral Analysis · Neural Signal Decoding</w:t>
      </w:r>
    </w:p>
    <w:p>
      <w:pPr>
        <w:spacing w:after="100"/>
      </w:pPr>
      <w:r>
        <w:rPr>
          <w:rFonts w:ascii="Calibri" w:cs="Calibri" w:eastAsia="Calibri" w:hAnsi="Calibri"/>
          <w:b/>
          <w:bCs/>
          <w:color w:val="333333"/>
          <w:sz w:val="20"/>
          <w:szCs w:val="20"/>
        </w:rPr>
        <w:t xml:space="preserve">Engineering: </w:t>
      </w:r>
      <w:r>
        <w:rPr>
          <w:rFonts w:ascii="Calibri" w:cs="Calibri" w:eastAsia="Calibri" w:hAnsi="Calibri"/>
          <w:color w:val="333333"/>
          <w:sz w:val="20"/>
          <w:szCs w:val="20"/>
        </w:rPr>
        <w:t xml:space="preserve">Python · C++ · Docker · AWS · API Design · FAISS · Git</w:t>
      </w:r>
    </w:p>
    <w:p>
      <w:pPr>
        <w:pBdr>
          <w:bottom w:val="single" w:color="1F3A5F" w:sz="6" w:space="3"/>
        </w:pBdr>
        <w:spacing w:after="100" w:before="260"/>
      </w:pPr>
      <w:r>
        <w:rPr>
          <w:rFonts w:ascii="Calibri" w:cs="Calibri" w:eastAsia="Calibri" w:hAnsi="Calibri"/>
          <w:b/>
          <w:bCs/>
          <w:color w:val="1F3A5F"/>
          <w:spacing w:val="12"/>
          <w:sz w:val="21"/>
          <w:szCs w:val="21"/>
        </w:rPr>
        <w:t xml:space="preserve">EDUCATION</w:t>
      </w:r>
    </w:p>
    <w:p>
      <w:pPr>
        <w:tabs>
          <w:tab w:val="right" w:pos="9360"/>
        </w:tabs>
        <w:spacing w:after="20" w:before="180"/>
      </w:pPr>
      <w:r>
        <w:rPr>
          <w:rFonts w:ascii="Calibri" w:cs="Calibri" w:eastAsia="Calibri" w:hAnsi="Calibri"/>
          <w:b/>
          <w:bCs/>
          <w:color w:val="333333"/>
          <w:sz w:val="22"/>
          <w:szCs w:val="22"/>
        </w:rPr>
        <w:t xml:space="preserve">New York University Shanghai</w:t>
      </w:r>
      <w:r>
        <w:rPr>
          <w:rFonts w:ascii="Calibri" w:cs="Calibri" w:eastAsia="Calibri" w:hAnsi="Calibri"/>
          <w:b w:val="false"/>
          <w:bCs w:val="false"/>
          <w:color w:val="555555"/>
          <w:sz w:val="20"/>
          <w:szCs w:val="20"/>
        </w:rPr>
        <w:t xml:space="preserve">	Expected May 2028</w:t>
      </w:r>
    </w:p>
    <w:p>
      <w:pPr>
        <w:spacing w:after="7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B.S. Computer Science · Minor: Neurolinguistics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Academic Scholarship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Research Focus: Brain-Computer Interfaces &amp; AI</w:t>
      </w:r>
    </w:p>
    <w:p>
      <w:pPr>
        <w:tabs>
          <w:tab w:val="right" w:pos="9360"/>
        </w:tabs>
        <w:spacing w:after="20" w:before="180"/>
      </w:pPr>
      <w:r>
        <w:rPr>
          <w:rFonts w:ascii="Calibri" w:cs="Calibri" w:eastAsia="Calibri" w:hAnsi="Calibri"/>
          <w:b/>
          <w:bCs/>
          <w:color w:val="333333"/>
          <w:sz w:val="22"/>
          <w:szCs w:val="22"/>
        </w:rPr>
        <w:t xml:space="preserve">International School Lahore</w:t>
      </w:r>
    </w:p>
    <w:p>
      <w:pPr>
        <w:spacing w:after="70"/>
      </w:pP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A Levels: Physics • Mathematics • Computer Science • Chemistry • History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A2 Markhor Honors Award</w:t>
      </w:r>
    </w:p>
    <w:p>
      <w:pPr>
        <w:pBdr>
          <w:bottom w:val="single" w:color="1F3A5F" w:sz="6" w:space="3"/>
        </w:pBdr>
        <w:spacing w:after="100" w:before="260"/>
      </w:pPr>
      <w:r>
        <w:rPr>
          <w:rFonts w:ascii="Calibri" w:cs="Calibri" w:eastAsia="Calibri" w:hAnsi="Calibri"/>
          <w:b/>
          <w:bCs/>
          <w:color w:val="1F3A5F"/>
          <w:spacing w:val="12"/>
          <w:sz w:val="21"/>
          <w:szCs w:val="21"/>
        </w:rPr>
        <w:t xml:space="preserve">AWARDS &amp; RECOGNITION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Medalist — VEX Asia Open Championship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Promising Award — VEX U SJTU World Championship China Selection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Top 10 — National Engineering &amp; Robotics Contest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Runner-Up — Aitchison Robotics Competition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A2 Markhor Honors Award</w:t>
      </w:r>
    </w:p>
    <w:p>
      <w:pPr>
        <w:pBdr>
          <w:bottom w:val="single" w:color="1F3A5F" w:sz="6" w:space="3"/>
        </w:pBdr>
        <w:spacing w:after="100" w:before="260"/>
      </w:pPr>
      <w:r>
        <w:rPr>
          <w:rFonts w:ascii="Calibri" w:cs="Calibri" w:eastAsia="Calibri" w:hAnsi="Calibri"/>
          <w:b/>
          <w:bCs/>
          <w:color w:val="1F3A5F"/>
          <w:spacing w:val="12"/>
          <w:sz w:val="21"/>
          <w:szCs w:val="21"/>
        </w:rPr>
        <w:t xml:space="preserve">RESEARCH IMPACT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Sentence-level imagined speech decoding benchmark (4-subject evaluation)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Deterministic neuro-symbolic reasoning engine validated on 1,415 regulatory documents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Calibri" w:cs="Calibri" w:eastAsia="Calibri" w:hAnsi="Calibri"/>
          <w:color w:val="333333"/>
          <w:sz w:val="20"/>
          <w:szCs w:val="20"/>
        </w:rPr>
        <w:t xml:space="preserve">Autonomous scientific agent for manufacturing data engineering</w:t>
      </w:r>
    </w:p>
    <w:sectPr>
      <w:pgSz w:w="12240" w:h="15840" w:orient="portrait"/>
      <w:pgMar w:top="792" w:right="1008" w:bottom="792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15"/>
      </w:pPr>
      <w:rPr>
        <w:rFonts w:ascii="Calibri" w:cs="Calibri" w:eastAsia="Calibri" w:hAnsi="Calibri"/>
        <w:color w:val="1F3A5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gxgjc_udokzgihueklvv" Type="http://schemas.openxmlformats.org/officeDocument/2006/relationships/hyperlink" Target="https://mhkhokhar.com" TargetMode="External"/><Relationship Id="rIdlyirg7kfua1udnkcaee52" Type="http://schemas.openxmlformats.org/officeDocument/2006/relationships/hyperlink" Target="https://www.linkedin.com/in/muhammad-huzyafa-khokhar/" TargetMode="External"/><Relationship Id="rIdvlljbjpbe2tf-j0n1rpbv" Type="http://schemas.openxmlformats.org/officeDocument/2006/relationships/hyperlink" Target="https://excelleve.com" TargetMode="External"/><Relationship Id="rIdbnctae8el02u-sihg4gen" Type="http://schemas.openxmlformats.org/officeDocument/2006/relationships/hyperlink" Target="https://github.com/HuzyafaK" TargetMode="External"/><Relationship Id="rIdauissoxyxspwt_dccwih9" Type="http://schemas.openxmlformats.org/officeDocument/2006/relationships/hyperlink" Target="https://excelleve.com" TargetMode="External"/><Relationship Id="rIdntieyr6i2fbjc8rq86pp6" Type="http://schemas.openxmlformats.org/officeDocument/2006/relationships/hyperlink" Target="https://github.com/HuzyafaK/WildNet" TargetMode="External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2026-07-31T11:23:30.842Z</dcterms:created>
  <dcterms:modified xsi:type="dcterms:W3CDTF">2026-07-31T11:23:30.862Z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